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AC" w:rsidRDefault="00815FAC" w:rsidP="00815FAC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KGJK, nr. 148/2016 </w:t>
      </w:r>
    </w:p>
    <w:p w:rsidR="00815FAC" w:rsidRDefault="00815FAC" w:rsidP="00815FAC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18 nëntor 2016</w:t>
      </w:r>
    </w:p>
    <w:p w:rsidR="00815FAC" w:rsidRDefault="00815FAC" w:rsidP="00815FAC">
      <w:pPr>
        <w:jc w:val="right"/>
      </w:pPr>
    </w:p>
    <w:p w:rsidR="00267614" w:rsidRDefault="00267614" w:rsidP="00267614">
      <w:pPr>
        <w:tabs>
          <w:tab w:val="left" w:pos="2066"/>
        </w:tabs>
      </w:pPr>
    </w:p>
    <w:p w:rsidR="00267614" w:rsidRDefault="00267614" w:rsidP="00267614">
      <w:pPr>
        <w:tabs>
          <w:tab w:val="left" w:pos="2066"/>
        </w:tabs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  <w:r w:rsidRPr="007D5220">
        <w:rPr>
          <w:rFonts w:ascii="Sylfaen" w:hAnsi="Sylfaen"/>
          <w:b/>
        </w:rPr>
        <w:t>KËSHILLI GJYQËSOR I KOSOVËS,</w:t>
      </w:r>
      <w:r w:rsidRPr="007D5220">
        <w:rPr>
          <w:rFonts w:ascii="Sylfaen" w:hAnsi="Sylfaen"/>
          <w:color w:val="000000"/>
        </w:rPr>
        <w:t>(KGJK) në bazë të nenit 108 pika 3 të Kushtetutës së Republikës së Kosovës,  nenit t</w:t>
      </w:r>
      <w:r>
        <w:rPr>
          <w:rFonts w:ascii="Sylfaen" w:hAnsi="Sylfaen"/>
          <w:color w:val="000000"/>
        </w:rPr>
        <w:t>ë</w:t>
      </w:r>
      <w:r w:rsidRPr="007D5220">
        <w:rPr>
          <w:rFonts w:ascii="Sylfaen" w:hAnsi="Sylfaen"/>
          <w:color w:val="000000"/>
        </w:rPr>
        <w:t xml:space="preserve"> Ligjit nr. 03/L-223  për  Këshillin Gjyq</w:t>
      </w:r>
      <w:r>
        <w:rPr>
          <w:rFonts w:ascii="Sylfaen" w:hAnsi="Sylfaen"/>
          <w:color w:val="000000"/>
        </w:rPr>
        <w:t>ësor të Kosovës dhe nenit 30</w:t>
      </w:r>
      <w:r w:rsidRPr="007D5220">
        <w:rPr>
          <w:rFonts w:ascii="Sylfaen" w:hAnsi="Sylfaen"/>
          <w:color w:val="000000"/>
        </w:rPr>
        <w:t xml:space="preserve"> të  Rregullores mbi organizmin dhe veprimtarin e Këshillit Gjyqësor të Kosovës,</w:t>
      </w:r>
      <w:r w:rsidRPr="007D5220">
        <w:rPr>
          <w:rFonts w:ascii="Sylfaen" w:hAnsi="Sylfaen"/>
        </w:rPr>
        <w:t xml:space="preserve"> në përputhje</w:t>
      </w:r>
      <w:r>
        <w:rPr>
          <w:rFonts w:ascii="Sylfaen" w:hAnsi="Sylfaen"/>
        </w:rPr>
        <w:t xml:space="preserve"> nenin 4 pika 3.4</w:t>
      </w:r>
      <w:r w:rsidRPr="007D5220">
        <w:rPr>
          <w:rFonts w:ascii="Sylfaen" w:hAnsi="Sylfaen"/>
        </w:rPr>
        <w:t xml:space="preserve"> </w:t>
      </w:r>
      <w:r>
        <w:rPr>
          <w:rFonts w:ascii="Sylfaen" w:hAnsi="Sylfaen"/>
        </w:rPr>
        <w:t>të Ligjit</w:t>
      </w:r>
      <w:r w:rsidRPr="007D5220">
        <w:rPr>
          <w:rFonts w:ascii="Sylfaen" w:hAnsi="Sylfaen"/>
        </w:rPr>
        <w:t xml:space="preserve"> Nr. 0</w:t>
      </w:r>
      <w:r>
        <w:rPr>
          <w:rFonts w:ascii="Sylfaen" w:hAnsi="Sylfaen"/>
        </w:rPr>
        <w:t>5</w:t>
      </w:r>
      <w:r w:rsidRPr="007D5220">
        <w:rPr>
          <w:rFonts w:ascii="Sylfaen" w:hAnsi="Sylfaen"/>
        </w:rPr>
        <w:t>/L-</w:t>
      </w:r>
      <w:r>
        <w:rPr>
          <w:rFonts w:ascii="Sylfaen" w:hAnsi="Sylfaen"/>
        </w:rPr>
        <w:t>103</w:t>
      </w:r>
      <w:r w:rsidRPr="007D5220">
        <w:rPr>
          <w:rFonts w:ascii="Sylfaen" w:hAnsi="Sylfaen"/>
        </w:rPr>
        <w:t xml:space="preserve"> për ndryshimin dhe plotësimin e ligjeve që lidhen me mandatin e Misionit të Bashkimit Evropian për Sundim të Ligjit në Republikën e Kosovës</w:t>
      </w:r>
      <w:r>
        <w:rPr>
          <w:rFonts w:ascii="Sylfaen" w:hAnsi="Sylfaen"/>
        </w:rPr>
        <w:t>,</w:t>
      </w:r>
      <w:r w:rsidRPr="007D5220">
        <w:rPr>
          <w:rFonts w:ascii="Sylfaen" w:hAnsi="Sylfaen"/>
        </w:rPr>
        <w:t xml:space="preserve"> </w:t>
      </w:r>
      <w:r w:rsidRPr="007D5220">
        <w:rPr>
          <w:rFonts w:ascii="Sylfaen" w:hAnsi="Sylfaen"/>
          <w:color w:val="000000"/>
        </w:rPr>
        <w:t xml:space="preserve">në mbledhjen e mbajtur me </w:t>
      </w:r>
      <w:r>
        <w:rPr>
          <w:rFonts w:ascii="Sylfaen" w:hAnsi="Sylfaen"/>
          <w:color w:val="000000"/>
        </w:rPr>
        <w:t>28 tetor 2016</w:t>
      </w:r>
      <w:r w:rsidRPr="007D5220">
        <w:rPr>
          <w:rFonts w:ascii="Sylfaen" w:hAnsi="Sylfaen"/>
          <w:color w:val="000000"/>
        </w:rPr>
        <w:t>, nxjerr këtë:</w:t>
      </w: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267614" w:rsidRPr="00B710A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B710A0">
        <w:rPr>
          <w:rFonts w:ascii="Sylfaen" w:hAnsi="Sylfaen"/>
          <w:b/>
          <w:sz w:val="28"/>
          <w:szCs w:val="28"/>
        </w:rPr>
        <w:t xml:space="preserve">V E N D I M </w:t>
      </w: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267614" w:rsidRDefault="00267614" w:rsidP="00267614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3F20EF">
        <w:rPr>
          <w:rFonts w:ascii="Sylfaen" w:hAnsi="Sylfaen"/>
        </w:rPr>
        <w:t xml:space="preserve">Aprovohet  kërkesa </w:t>
      </w:r>
      <w:r w:rsidR="005C10B6">
        <w:rPr>
          <w:rFonts w:ascii="Sylfaen" w:hAnsi="Sylfaen"/>
        </w:rPr>
        <w:t xml:space="preserve">e z. Fejzullah Hasani, kryetar, Gjykata Supreme e Kosovës, </w:t>
      </w:r>
      <w:r w:rsidRPr="003F20EF">
        <w:rPr>
          <w:rFonts w:ascii="Sylfaen" w:hAnsi="Sylfaen"/>
        </w:rPr>
        <w:t xml:space="preserve">që </w:t>
      </w:r>
      <w:r>
        <w:rPr>
          <w:rFonts w:ascii="Sylfaen" w:hAnsi="Sylfaen"/>
        </w:rPr>
        <w:t>çështja</w:t>
      </w:r>
      <w:r w:rsidRPr="003F20EF">
        <w:rPr>
          <w:rFonts w:ascii="Sylfaen" w:hAnsi="Sylfaen"/>
        </w:rPr>
        <w:t xml:space="preserve"> penale P.nr.</w:t>
      </w:r>
      <w:r>
        <w:rPr>
          <w:rFonts w:ascii="Sylfaen" w:hAnsi="Sylfaen"/>
        </w:rPr>
        <w:t>176/</w:t>
      </w:r>
      <w:r w:rsidRPr="003F20EF">
        <w:rPr>
          <w:rFonts w:ascii="Sylfaen" w:hAnsi="Sylfaen"/>
        </w:rPr>
        <w:t>2016</w:t>
      </w:r>
      <w:r>
        <w:rPr>
          <w:rFonts w:ascii="Sylfaen" w:hAnsi="Sylfaen"/>
        </w:rPr>
        <w:t xml:space="preserve"> të </w:t>
      </w:r>
      <w:r w:rsidR="00337C3C">
        <w:rPr>
          <w:rFonts w:ascii="Sylfaen" w:hAnsi="Sylfaen"/>
        </w:rPr>
        <w:t xml:space="preserve"> kalohet </w:t>
      </w:r>
      <w:r w:rsidR="003515D6">
        <w:rPr>
          <w:rFonts w:ascii="Sylfaen" w:hAnsi="Sylfaen"/>
        </w:rPr>
        <w:t>për shqyrtim nga</w:t>
      </w:r>
      <w:r w:rsidR="00337C3C">
        <w:rPr>
          <w:rFonts w:ascii="Sylfaen" w:hAnsi="Sylfaen"/>
        </w:rPr>
        <w:t xml:space="preserve"> kompetenc</w:t>
      </w:r>
      <w:r w:rsidR="003515D6">
        <w:rPr>
          <w:rFonts w:ascii="Sylfaen" w:hAnsi="Sylfaen"/>
        </w:rPr>
        <w:t>a</w:t>
      </w:r>
      <w:r w:rsidR="00337C3C">
        <w:rPr>
          <w:rFonts w:ascii="Sylfaen" w:hAnsi="Sylfaen"/>
        </w:rPr>
        <w:t xml:space="preserve"> </w:t>
      </w:r>
      <w:r w:rsidR="003515D6">
        <w:rPr>
          <w:rFonts w:ascii="Sylfaen" w:hAnsi="Sylfaen"/>
        </w:rPr>
        <w:t>e</w:t>
      </w:r>
      <w:r w:rsidR="00337C3C">
        <w:rPr>
          <w:rFonts w:ascii="Sylfaen" w:hAnsi="Sylfaen"/>
        </w:rPr>
        <w:t xml:space="preserve"> gjyq</w:t>
      </w:r>
      <w:r w:rsidR="003515D6">
        <w:rPr>
          <w:rFonts w:ascii="Sylfaen" w:hAnsi="Sylfaen"/>
        </w:rPr>
        <w:t>tarëve vendor në kompetencë të</w:t>
      </w:r>
      <w:r>
        <w:rPr>
          <w:rFonts w:ascii="Sylfaen" w:hAnsi="Sylfaen"/>
        </w:rPr>
        <w:t xml:space="preserve"> gjyqtarë</w:t>
      </w:r>
      <w:r w:rsidR="003515D6">
        <w:rPr>
          <w:rFonts w:ascii="Sylfaen" w:hAnsi="Sylfaen"/>
        </w:rPr>
        <w:t>ve të</w:t>
      </w:r>
      <w:r w:rsidRPr="003F20EF">
        <w:rPr>
          <w:rFonts w:ascii="Sylfaen" w:hAnsi="Sylfaen"/>
        </w:rPr>
        <w:t xml:space="preserve"> EULEX- it</w:t>
      </w:r>
      <w:r>
        <w:rPr>
          <w:rFonts w:ascii="Sylfaen" w:hAnsi="Sylfaen"/>
        </w:rPr>
        <w:t>;</w:t>
      </w:r>
      <w:r w:rsidRPr="003F20EF">
        <w:rPr>
          <w:rFonts w:ascii="Sylfaen" w:hAnsi="Sylfaen"/>
        </w:rPr>
        <w:t xml:space="preserve"> </w:t>
      </w:r>
    </w:p>
    <w:p w:rsidR="00267614" w:rsidRPr="003F20EF" w:rsidRDefault="00267614" w:rsidP="00267614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267614" w:rsidRPr="007D5220" w:rsidRDefault="00267614" w:rsidP="00267614">
      <w:pPr>
        <w:pStyle w:val="Header"/>
        <w:numPr>
          <w:ilvl w:val="0"/>
          <w:numId w:val="5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Vendimi hyn në fuqi ditën e nënshkrimit.</w:t>
      </w:r>
    </w:p>
    <w:p w:rsidR="00267614" w:rsidRPr="007D5220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>A  r s y e t i m</w:t>
      </w:r>
    </w:p>
    <w:p w:rsidR="00267614" w:rsidRPr="007D5220" w:rsidRDefault="00267614" w:rsidP="00267614">
      <w:pPr>
        <w:pStyle w:val="Header"/>
        <w:tabs>
          <w:tab w:val="left" w:pos="720"/>
        </w:tabs>
        <w:outlineLvl w:val="0"/>
        <w:rPr>
          <w:rFonts w:ascii="Sylfaen" w:hAnsi="Sylfaen"/>
        </w:rPr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Këshilli Gjyqësor i Kosovës </w:t>
      </w:r>
      <w:r>
        <w:rPr>
          <w:rFonts w:ascii="Sylfaen" w:hAnsi="Sylfaen"/>
        </w:rPr>
        <w:t xml:space="preserve"> me datë </w:t>
      </w:r>
      <w:r w:rsidR="005C10B6">
        <w:rPr>
          <w:rFonts w:ascii="Sylfaen" w:hAnsi="Sylfaen"/>
        </w:rPr>
        <w:t>09</w:t>
      </w:r>
      <w:r>
        <w:rPr>
          <w:rFonts w:ascii="Sylfaen" w:hAnsi="Sylfaen"/>
        </w:rPr>
        <w:t xml:space="preserve"> </w:t>
      </w:r>
      <w:r w:rsidR="005C10B6">
        <w:rPr>
          <w:rFonts w:ascii="Sylfaen" w:hAnsi="Sylfaen"/>
        </w:rPr>
        <w:t>nëntor</w:t>
      </w:r>
      <w:r>
        <w:rPr>
          <w:rFonts w:ascii="Sylfaen" w:hAnsi="Sylfaen"/>
        </w:rPr>
        <w:t xml:space="preserve"> 2016 ka pranuar kërkesë nga kryetari  i Gjykatës Supreme të Kosovës që çështja</w:t>
      </w:r>
      <w:r w:rsidRPr="003F20EF">
        <w:rPr>
          <w:rFonts w:ascii="Sylfaen" w:hAnsi="Sylfaen"/>
        </w:rPr>
        <w:t xml:space="preserve"> penale </w:t>
      </w:r>
      <w:r w:rsidR="005C10B6">
        <w:rPr>
          <w:rFonts w:ascii="Sylfaen" w:hAnsi="Sylfaen"/>
        </w:rPr>
        <w:t>P</w:t>
      </w:r>
      <w:r w:rsidR="005C10B6" w:rsidRPr="003F20EF">
        <w:rPr>
          <w:rFonts w:ascii="Sylfaen" w:hAnsi="Sylfaen"/>
        </w:rPr>
        <w:t>.nr.</w:t>
      </w:r>
      <w:r w:rsidR="005C10B6">
        <w:rPr>
          <w:rFonts w:ascii="Sylfaen" w:hAnsi="Sylfaen"/>
        </w:rPr>
        <w:t>176/</w:t>
      </w:r>
      <w:r w:rsidR="005C10B6" w:rsidRPr="003F20EF">
        <w:rPr>
          <w:rFonts w:ascii="Sylfaen" w:hAnsi="Sylfaen"/>
        </w:rPr>
        <w:t>2016</w:t>
      </w:r>
      <w:r w:rsidR="005C10B6">
        <w:rPr>
          <w:rFonts w:ascii="Sylfaen" w:hAnsi="Sylfaen"/>
        </w:rPr>
        <w:t xml:space="preserve"> të kalohet për shqyrtim </w:t>
      </w:r>
      <w:r w:rsidR="003515D6">
        <w:rPr>
          <w:rFonts w:ascii="Sylfaen" w:hAnsi="Sylfaen"/>
        </w:rPr>
        <w:t>nga kompetenca e gjyqtarëve vendor në kompetencë të gjyqtarëve të</w:t>
      </w:r>
      <w:r w:rsidR="003515D6" w:rsidRPr="003F20EF">
        <w:rPr>
          <w:rFonts w:ascii="Sylfaen" w:hAnsi="Sylfaen"/>
        </w:rPr>
        <w:t xml:space="preserve"> EULEX- it</w:t>
      </w:r>
      <w:r w:rsidR="003515D6">
        <w:rPr>
          <w:rFonts w:ascii="Sylfaen" w:hAnsi="Sylfaen"/>
        </w:rPr>
        <w:t>.</w:t>
      </w:r>
    </w:p>
    <w:p w:rsidR="003515D6" w:rsidRDefault="003515D6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Pr="007C3B96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i/>
        </w:rPr>
      </w:pPr>
      <w:r>
        <w:rPr>
          <w:rFonts w:ascii="Sylfaen" w:hAnsi="Sylfaen"/>
        </w:rPr>
        <w:t>Kryetari Hasani, kërkesën për delegim të kësaj lënde tek  gjyqtarët e EULEX-it e mbështet në nenin 4 pika 3.4</w:t>
      </w:r>
      <w:r w:rsidRPr="007D5220">
        <w:rPr>
          <w:rFonts w:ascii="Sylfaen" w:hAnsi="Sylfaen"/>
        </w:rPr>
        <w:t xml:space="preserve"> </w:t>
      </w:r>
      <w:r>
        <w:rPr>
          <w:rFonts w:ascii="Sylfaen" w:hAnsi="Sylfaen"/>
        </w:rPr>
        <w:t>të Ligjit</w:t>
      </w:r>
      <w:r w:rsidRPr="007D5220">
        <w:rPr>
          <w:rFonts w:ascii="Sylfaen" w:hAnsi="Sylfaen"/>
        </w:rPr>
        <w:t xml:space="preserve"> Nr. 0</w:t>
      </w:r>
      <w:r>
        <w:rPr>
          <w:rFonts w:ascii="Sylfaen" w:hAnsi="Sylfaen"/>
        </w:rPr>
        <w:t>5</w:t>
      </w:r>
      <w:r w:rsidRPr="007D5220">
        <w:rPr>
          <w:rFonts w:ascii="Sylfaen" w:hAnsi="Sylfaen"/>
        </w:rPr>
        <w:t>/L-</w:t>
      </w:r>
      <w:r>
        <w:rPr>
          <w:rFonts w:ascii="Sylfaen" w:hAnsi="Sylfaen"/>
        </w:rPr>
        <w:t>103</w:t>
      </w:r>
      <w:r w:rsidRPr="007D5220">
        <w:rPr>
          <w:rFonts w:ascii="Sylfaen" w:hAnsi="Sylfaen"/>
        </w:rPr>
        <w:t xml:space="preserve"> për ndryshimin dhe plotësimin e ligjeve që lidhen me mandatin e Misionit të Bashkimit Evropian për Sundim të Ligjit në Republikën e Kosovës</w:t>
      </w:r>
      <w:r>
        <w:rPr>
          <w:rFonts w:ascii="Sylfaen" w:hAnsi="Sylfaen"/>
        </w:rPr>
        <w:t xml:space="preserve"> në të cilin thuhet, e citoj:’’ </w:t>
      </w:r>
      <w:r w:rsidRPr="007C3B96">
        <w:rPr>
          <w:rFonts w:ascii="Sylfaen" w:hAnsi="Sylfaen"/>
          <w:i/>
        </w:rPr>
        <w:t>Në rrethana të jashtëzakonshme, me kërkesën e arsyetuar të kryetarit të Gjykatës Supreme, Këshilli Gjyqësor mund të vendos që kolegji të përbëhet nga shumica e Gjyqtarëv</w:t>
      </w:r>
      <w:bookmarkStart w:id="0" w:name="_GoBack"/>
      <w:bookmarkEnd w:id="0"/>
      <w:r w:rsidRPr="007C3B96">
        <w:rPr>
          <w:rFonts w:ascii="Sylfaen" w:hAnsi="Sylfaen"/>
          <w:i/>
        </w:rPr>
        <w:t>e të EULEX-it’</w:t>
      </w:r>
      <w:r>
        <w:rPr>
          <w:rFonts w:ascii="Sylfaen" w:hAnsi="Sylfaen"/>
          <w:i/>
        </w:rPr>
        <w:t>.</w:t>
      </w: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Këshilli  Gjyqësor i Kosovës  pasi  shqyrtoj  dhe analizoj me kujdes kërkesën e z. Hasani, e aprovoj si të bazuar kërkesën e tij duke u mbështetur  në arsyetimin e </w:t>
      </w:r>
      <w:proofErr w:type="spellStart"/>
      <w:r w:rsidR="005C10B6">
        <w:rPr>
          <w:rFonts w:ascii="Sylfaen" w:hAnsi="Sylfaen"/>
        </w:rPr>
        <w:t>ud</w:t>
      </w:r>
      <w:proofErr w:type="spellEnd"/>
      <w:r w:rsidR="005C10B6">
        <w:rPr>
          <w:rFonts w:ascii="Sylfaen" w:hAnsi="Sylfaen"/>
        </w:rPr>
        <w:t>. Kryetarit të Gjykatës Themelore Mitrovicë</w:t>
      </w:r>
      <w:r>
        <w:rPr>
          <w:rFonts w:ascii="Sylfaen" w:hAnsi="Sylfaen"/>
        </w:rPr>
        <w:t xml:space="preserve"> drejtuar kryetarit të Gjykatës Supreme, se lënda </w:t>
      </w:r>
      <w:r w:rsidR="005C10B6">
        <w:rPr>
          <w:rFonts w:ascii="Sylfaen" w:hAnsi="Sylfaen"/>
        </w:rPr>
        <w:t>P</w:t>
      </w:r>
      <w:r w:rsidR="005C10B6" w:rsidRPr="003F20EF">
        <w:rPr>
          <w:rFonts w:ascii="Sylfaen" w:hAnsi="Sylfaen"/>
        </w:rPr>
        <w:t>.nr.</w:t>
      </w:r>
      <w:r w:rsidR="005C10B6">
        <w:rPr>
          <w:rFonts w:ascii="Sylfaen" w:hAnsi="Sylfaen"/>
        </w:rPr>
        <w:t>176/</w:t>
      </w:r>
      <w:r w:rsidR="005C10B6" w:rsidRPr="003F20EF">
        <w:rPr>
          <w:rFonts w:ascii="Sylfaen" w:hAnsi="Sylfaen"/>
        </w:rPr>
        <w:t>2016</w:t>
      </w:r>
      <w:r w:rsidR="005C10B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është </w:t>
      </w:r>
      <w:r w:rsidR="002A13FA">
        <w:rPr>
          <w:rFonts w:ascii="Sylfaen" w:hAnsi="Sylfaen"/>
        </w:rPr>
        <w:t xml:space="preserve">trajtuar në procedurë paraprake nga gjyqtarët e EULEX-it, ndjeshmërisë </w:t>
      </w:r>
      <w:r w:rsidR="00E9763F">
        <w:rPr>
          <w:rFonts w:ascii="Sylfaen" w:hAnsi="Sylfaen"/>
        </w:rPr>
        <w:t xml:space="preserve"> dhe </w:t>
      </w:r>
      <w:proofErr w:type="spellStart"/>
      <w:r w:rsidR="00E9763F">
        <w:rPr>
          <w:rFonts w:ascii="Sylfaen" w:hAnsi="Sylfaen"/>
        </w:rPr>
        <w:t>kompleksitetit</w:t>
      </w:r>
      <w:proofErr w:type="spellEnd"/>
      <w:r w:rsidR="00E9763F">
        <w:rPr>
          <w:rFonts w:ascii="Sylfaen" w:hAnsi="Sylfaen"/>
        </w:rPr>
        <w:t xml:space="preserve"> t</w:t>
      </w:r>
      <w:r w:rsidR="002A13FA">
        <w:rPr>
          <w:rFonts w:ascii="Sylfaen" w:hAnsi="Sylfaen"/>
        </w:rPr>
        <w:t>ë l</w:t>
      </w:r>
      <w:r w:rsidR="00E9763F">
        <w:rPr>
          <w:rFonts w:ascii="Sylfaen" w:hAnsi="Sylfaen"/>
        </w:rPr>
        <w:t>ë</w:t>
      </w:r>
      <w:r w:rsidR="002A13FA">
        <w:rPr>
          <w:rFonts w:ascii="Sylfaen" w:hAnsi="Sylfaen"/>
        </w:rPr>
        <w:t>nd</w:t>
      </w:r>
      <w:r w:rsidR="00E9763F">
        <w:rPr>
          <w:rFonts w:ascii="Sylfaen" w:hAnsi="Sylfaen"/>
        </w:rPr>
        <w:t>ë</w:t>
      </w:r>
      <w:r w:rsidR="002A13FA">
        <w:rPr>
          <w:rFonts w:ascii="Sylfaen" w:hAnsi="Sylfaen"/>
        </w:rPr>
        <w:t>s në të cilën të pandehurit akuzohen  për veprat penale  shmangieje nga tatimi, shpëlarje</w:t>
      </w:r>
      <w:r w:rsidR="00E9763F">
        <w:rPr>
          <w:rFonts w:ascii="Sylfaen" w:hAnsi="Sylfaen"/>
        </w:rPr>
        <w:t xml:space="preserve"> të parave </w:t>
      </w:r>
      <w:r w:rsidR="002A13FA">
        <w:rPr>
          <w:rFonts w:ascii="Sylfaen" w:hAnsi="Sylfaen"/>
        </w:rPr>
        <w:t>dhe krim të organizuar, si dhe</w:t>
      </w:r>
      <w:r w:rsidR="00E9763F">
        <w:rPr>
          <w:rFonts w:ascii="Sylfaen" w:hAnsi="Sylfaen"/>
        </w:rPr>
        <w:t xml:space="preserve"> për shkak të</w:t>
      </w:r>
      <w:r w:rsidR="002A13FA">
        <w:rPr>
          <w:rFonts w:ascii="Sylfaen" w:hAnsi="Sylfaen"/>
        </w:rPr>
        <w:t xml:space="preserve"> rrethanave te jashtëzakonshme </w:t>
      </w:r>
      <w:r w:rsidR="00E9763F">
        <w:rPr>
          <w:rFonts w:ascii="Sylfaen" w:hAnsi="Sylfaen"/>
        </w:rPr>
        <w:t>të kësaj gjykate si</w:t>
      </w:r>
      <w:r w:rsidR="002A13FA">
        <w:rPr>
          <w:rFonts w:ascii="Sylfaen" w:hAnsi="Sylfaen"/>
        </w:rPr>
        <w:t xml:space="preserve"> kushtet e vështira të punës </w:t>
      </w:r>
      <w:r w:rsidR="00E9763F">
        <w:rPr>
          <w:rFonts w:ascii="Sylfaen" w:hAnsi="Sylfaen"/>
        </w:rPr>
        <w:t>për</w:t>
      </w:r>
      <w:r w:rsidR="002A13FA">
        <w:rPr>
          <w:rFonts w:ascii="Sylfaen" w:hAnsi="Sylfaen"/>
        </w:rPr>
        <w:t xml:space="preserve"> shkak të mungesës së hapësirave për gjykim</w:t>
      </w:r>
      <w:r w:rsidR="00E9763F">
        <w:rPr>
          <w:rFonts w:ascii="Sylfaen" w:hAnsi="Sylfaen"/>
        </w:rPr>
        <w:t xml:space="preserve"> dhe</w:t>
      </w:r>
      <w:r w:rsidR="002A13FA">
        <w:rPr>
          <w:rFonts w:ascii="Sylfaen" w:hAnsi="Sylfaen"/>
        </w:rPr>
        <w:t xml:space="preserve"> </w:t>
      </w:r>
      <w:r w:rsidR="003515D6">
        <w:rPr>
          <w:rFonts w:ascii="Sylfaen" w:hAnsi="Sylfaen"/>
        </w:rPr>
        <w:t>numrit</w:t>
      </w:r>
      <w:r w:rsidR="00E9763F">
        <w:rPr>
          <w:rFonts w:ascii="Sylfaen" w:hAnsi="Sylfaen"/>
        </w:rPr>
        <w:t xml:space="preserve"> </w:t>
      </w:r>
      <w:r w:rsidR="00E409FB">
        <w:rPr>
          <w:rFonts w:ascii="Sylfaen" w:hAnsi="Sylfaen"/>
        </w:rPr>
        <w:t>të pa mjaftueshëm të gjyqtarëve etj.</w:t>
      </w: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Gjithashtu, Këshilli  </w:t>
      </w:r>
      <w:r w:rsidRPr="006B0948">
        <w:rPr>
          <w:rFonts w:ascii="Sylfaen" w:hAnsi="Sylfaen"/>
          <w:sz w:val="22"/>
          <w:szCs w:val="22"/>
        </w:rPr>
        <w:t xml:space="preserve">vlerësoj se një veprim i tillë do të mundësoj </w:t>
      </w:r>
      <w:proofErr w:type="spellStart"/>
      <w:r w:rsidRPr="006B0948">
        <w:rPr>
          <w:rFonts w:ascii="Sylfaen" w:hAnsi="Sylfaen"/>
          <w:sz w:val="22"/>
          <w:szCs w:val="22"/>
        </w:rPr>
        <w:t>kontinuitetin</w:t>
      </w:r>
      <w:proofErr w:type="spellEnd"/>
      <w:r w:rsidRPr="006B0948">
        <w:rPr>
          <w:rFonts w:ascii="Sylfaen" w:hAnsi="Sylfaen"/>
          <w:sz w:val="22"/>
          <w:szCs w:val="22"/>
        </w:rPr>
        <w:t xml:space="preserve"> dhe efikasitetin e  punës në gjykatë dhe për këtë arsye vendosi që këto çështje të mbesin në kompetencë për gjykim </w:t>
      </w:r>
      <w:r>
        <w:rPr>
          <w:rFonts w:ascii="Sylfaen" w:hAnsi="Sylfaen"/>
          <w:sz w:val="22"/>
          <w:szCs w:val="22"/>
        </w:rPr>
        <w:t>nga</w:t>
      </w:r>
      <w:r w:rsidRPr="006B0948">
        <w:rPr>
          <w:rFonts w:ascii="Sylfaen" w:hAnsi="Sylfaen"/>
          <w:sz w:val="22"/>
          <w:szCs w:val="22"/>
        </w:rPr>
        <w:t xml:space="preserve"> gjyqtarët </w:t>
      </w:r>
      <w:r>
        <w:rPr>
          <w:rFonts w:ascii="Sylfaen" w:hAnsi="Sylfaen"/>
          <w:sz w:val="22"/>
          <w:szCs w:val="22"/>
        </w:rPr>
        <w:t>shumicë të</w:t>
      </w:r>
      <w:r w:rsidRPr="006B0948">
        <w:rPr>
          <w:rFonts w:ascii="Sylfaen" w:hAnsi="Sylfaen"/>
          <w:sz w:val="22"/>
          <w:szCs w:val="22"/>
        </w:rPr>
        <w:t xml:space="preserve"> EULEX-it</w:t>
      </w:r>
      <w:r>
        <w:rPr>
          <w:rFonts w:ascii="Sylfaen" w:hAnsi="Sylfaen"/>
          <w:sz w:val="22"/>
          <w:szCs w:val="22"/>
        </w:rPr>
        <w:t>.</w:t>
      </w:r>
    </w:p>
    <w:p w:rsidR="00267614" w:rsidRPr="007D5220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Andaj</w:t>
      </w:r>
      <w:r w:rsidRPr="007D5220">
        <w:rPr>
          <w:rFonts w:ascii="Sylfaen" w:hAnsi="Sylfaen"/>
        </w:rPr>
        <w:t xml:space="preserve">, duke u bazuar si në thëniet e sipërpërmendura u vendos si në </w:t>
      </w:r>
      <w:proofErr w:type="spellStart"/>
      <w:r w:rsidRPr="007D5220">
        <w:rPr>
          <w:rFonts w:ascii="Sylfaen" w:hAnsi="Sylfaen"/>
        </w:rPr>
        <w:t>dispozitiv</w:t>
      </w:r>
      <w:proofErr w:type="spellEnd"/>
      <w:r w:rsidRPr="007D5220">
        <w:rPr>
          <w:rFonts w:ascii="Sylfaen" w:hAnsi="Sylfaen"/>
        </w:rPr>
        <w:t xml:space="preserve"> të këtij vendimi.</w:t>
      </w:r>
    </w:p>
    <w:p w:rsidR="00267614" w:rsidRPr="007D5220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Pr="007D5220" w:rsidRDefault="00267614" w:rsidP="00267614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ab/>
      </w:r>
      <w:r w:rsidRPr="007D5220">
        <w:rPr>
          <w:rFonts w:ascii="Sylfaen" w:hAnsi="Sylfaen"/>
        </w:rPr>
        <w:tab/>
      </w:r>
      <w:r>
        <w:rPr>
          <w:rFonts w:ascii="Sylfaen" w:hAnsi="Sylfaen"/>
        </w:rPr>
        <w:t xml:space="preserve">                                                                            </w:t>
      </w:r>
      <w:r w:rsidR="00E9763F">
        <w:rPr>
          <w:rFonts w:ascii="Sylfaen" w:hAnsi="Sylfaen"/>
        </w:rPr>
        <w:t>Nehat Idrizi</w:t>
      </w: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267614" w:rsidRPr="007D5220" w:rsidRDefault="00267614" w:rsidP="00267614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</w:t>
      </w:r>
      <w:r w:rsidR="00E9763F">
        <w:rPr>
          <w:rFonts w:ascii="Sylfaen" w:hAnsi="Sylfaen"/>
        </w:rPr>
        <w:t xml:space="preserve">                               </w:t>
      </w:r>
      <w:r w:rsidRPr="007D5220">
        <w:rPr>
          <w:rFonts w:ascii="Sylfaen" w:hAnsi="Sylfaen"/>
        </w:rPr>
        <w:t xml:space="preserve"> Kryesues</w:t>
      </w:r>
      <w:r w:rsidR="00DC765D">
        <w:rPr>
          <w:rFonts w:ascii="Sylfaen" w:hAnsi="Sylfaen"/>
        </w:rPr>
        <w:t>,</w:t>
      </w:r>
    </w:p>
    <w:p w:rsidR="00267614" w:rsidRPr="007D5220" w:rsidRDefault="00267614" w:rsidP="00267614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  Këshilli Gjyqësor i Kosovës </w:t>
      </w:r>
    </w:p>
    <w:p w:rsidR="00267614" w:rsidRPr="001D051F" w:rsidRDefault="00267614" w:rsidP="00267614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267614" w:rsidRPr="001D051F" w:rsidRDefault="00267614" w:rsidP="00267614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 </w:t>
      </w:r>
    </w:p>
    <w:p w:rsidR="00267614" w:rsidRDefault="00267614" w:rsidP="00267614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Fejzullah Hasani, Kryetar Gjykata Supreme</w:t>
      </w:r>
    </w:p>
    <w:p w:rsidR="00E9763F" w:rsidRDefault="00E9763F" w:rsidP="00267614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Ali, Kutllovci, </w:t>
      </w:r>
      <w:proofErr w:type="spellStart"/>
      <w:r>
        <w:rPr>
          <w:rFonts w:ascii="Sylfaen" w:hAnsi="Sylfaen"/>
          <w:i/>
          <w:sz w:val="20"/>
          <w:szCs w:val="20"/>
        </w:rPr>
        <w:t>Ud</w:t>
      </w:r>
      <w:proofErr w:type="spellEnd"/>
      <w:r>
        <w:rPr>
          <w:rFonts w:ascii="Sylfaen" w:hAnsi="Sylfaen"/>
          <w:i/>
          <w:sz w:val="20"/>
          <w:szCs w:val="20"/>
        </w:rPr>
        <w:t>. Kryetar, Gjykata Themelore Mitrovicë</w:t>
      </w:r>
    </w:p>
    <w:p w:rsidR="00267614" w:rsidRDefault="00E9763F" w:rsidP="00267614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Kryetarit të Gjyqtarëve të EULEX -it</w:t>
      </w:r>
    </w:p>
    <w:p w:rsidR="00267614" w:rsidRDefault="00267614" w:rsidP="00267614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577725">
        <w:rPr>
          <w:rFonts w:ascii="Sylfaen" w:hAnsi="Sylfaen"/>
          <w:i/>
          <w:sz w:val="20"/>
          <w:szCs w:val="20"/>
        </w:rPr>
        <w:t xml:space="preserve">Drejtorit të Sekretariatit të KGJK </w:t>
      </w:r>
    </w:p>
    <w:p w:rsidR="00267614" w:rsidRPr="00577725" w:rsidRDefault="00267614" w:rsidP="00267614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proofErr w:type="spellStart"/>
      <w:r w:rsidRPr="00577725">
        <w:rPr>
          <w:rFonts w:ascii="Sylfaen" w:hAnsi="Sylfaen"/>
          <w:i/>
          <w:sz w:val="20"/>
          <w:szCs w:val="20"/>
        </w:rPr>
        <w:t>Arkivës</w:t>
      </w:r>
      <w:proofErr w:type="spellEnd"/>
      <w:r w:rsidRPr="00577725">
        <w:rPr>
          <w:rFonts w:ascii="Sylfaen" w:hAnsi="Sylfaen"/>
          <w:i/>
          <w:sz w:val="20"/>
          <w:szCs w:val="20"/>
        </w:rPr>
        <w:t xml:space="preserve"> së KGJK </w:t>
      </w:r>
    </w:p>
    <w:p w:rsidR="00267614" w:rsidRPr="00DD5C85" w:rsidRDefault="00267614" w:rsidP="00E9763F">
      <w:pPr>
        <w:pStyle w:val="ListParagraph"/>
        <w:tabs>
          <w:tab w:val="left" w:pos="2066"/>
        </w:tabs>
      </w:pPr>
    </w:p>
    <w:p w:rsidR="00DD5C85" w:rsidRPr="00815FAC" w:rsidRDefault="00DD5C85" w:rsidP="00267614">
      <w:pPr>
        <w:tabs>
          <w:tab w:val="left" w:pos="2066"/>
        </w:tabs>
      </w:pPr>
    </w:p>
    <w:sectPr w:rsidR="00DD5C85" w:rsidRPr="00815FAC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E0" w:rsidRDefault="00AE5EE0" w:rsidP="0003453F">
      <w:r>
        <w:separator/>
      </w:r>
    </w:p>
  </w:endnote>
  <w:endnote w:type="continuationSeparator" w:id="0">
    <w:p w:rsidR="00AE5EE0" w:rsidRDefault="00AE5EE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E0" w:rsidRDefault="00AE5EE0" w:rsidP="0003453F">
      <w:r>
        <w:separator/>
      </w:r>
    </w:p>
  </w:footnote>
  <w:footnote w:type="continuationSeparator" w:id="0">
    <w:p w:rsidR="00AE5EE0" w:rsidRDefault="00AE5EE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A5"/>
    <w:multiLevelType w:val="hybridMultilevel"/>
    <w:tmpl w:val="C272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6B9E"/>
    <w:multiLevelType w:val="hybridMultilevel"/>
    <w:tmpl w:val="C31234FC"/>
    <w:lvl w:ilvl="0" w:tplc="6E58C6B8">
      <w:start w:val="2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AC"/>
    <w:rsid w:val="0003453F"/>
    <w:rsid w:val="00073A03"/>
    <w:rsid w:val="000B384F"/>
    <w:rsid w:val="00146B43"/>
    <w:rsid w:val="001D1357"/>
    <w:rsid w:val="001F1476"/>
    <w:rsid w:val="0020297E"/>
    <w:rsid w:val="0022164B"/>
    <w:rsid w:val="002249A7"/>
    <w:rsid w:val="002506FA"/>
    <w:rsid w:val="00267614"/>
    <w:rsid w:val="002A13FA"/>
    <w:rsid w:val="002C6B1D"/>
    <w:rsid w:val="002F0D80"/>
    <w:rsid w:val="00337C3C"/>
    <w:rsid w:val="003515D6"/>
    <w:rsid w:val="00447F15"/>
    <w:rsid w:val="00450A94"/>
    <w:rsid w:val="00542DE9"/>
    <w:rsid w:val="00560681"/>
    <w:rsid w:val="00592264"/>
    <w:rsid w:val="005C10B6"/>
    <w:rsid w:val="00752F63"/>
    <w:rsid w:val="007E7A56"/>
    <w:rsid w:val="00815FAC"/>
    <w:rsid w:val="008C5DD1"/>
    <w:rsid w:val="008C6ED6"/>
    <w:rsid w:val="0097715C"/>
    <w:rsid w:val="009F7A8E"/>
    <w:rsid w:val="00A553CA"/>
    <w:rsid w:val="00A9740A"/>
    <w:rsid w:val="00AE5EE0"/>
    <w:rsid w:val="00B3736A"/>
    <w:rsid w:val="00B608E9"/>
    <w:rsid w:val="00B65BDF"/>
    <w:rsid w:val="00B84793"/>
    <w:rsid w:val="00BB6F3C"/>
    <w:rsid w:val="00C261F5"/>
    <w:rsid w:val="00C824F7"/>
    <w:rsid w:val="00D80BED"/>
    <w:rsid w:val="00DA29BC"/>
    <w:rsid w:val="00DC765D"/>
    <w:rsid w:val="00DD5C85"/>
    <w:rsid w:val="00E109C3"/>
    <w:rsid w:val="00E149C0"/>
    <w:rsid w:val="00E409FB"/>
    <w:rsid w:val="00E9763F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3837B-D00C-4250-A244-549A0B8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4</cp:revision>
  <cp:lastPrinted>2016-11-25T09:35:00Z</cp:lastPrinted>
  <dcterms:created xsi:type="dcterms:W3CDTF">2016-11-25T08:09:00Z</dcterms:created>
  <dcterms:modified xsi:type="dcterms:W3CDTF">2016-11-25T09:36:00Z</dcterms:modified>
</cp:coreProperties>
</file>